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44" w:rsidRDefault="001F3D44" w:rsidP="001F3D44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Children and Communities Programme</w:t>
      </w:r>
    </w:p>
    <w:p w:rsidR="001F3D44" w:rsidRDefault="001F3D44" w:rsidP="001F3D44">
      <w:pPr>
        <w:ind w:firstLine="720"/>
        <w:rPr>
          <w:rFonts w:ascii="Arial" w:hAnsi="Arial" w:cs="Arial"/>
        </w:rPr>
      </w:pPr>
    </w:p>
    <w:p w:rsidR="001F3D44" w:rsidRDefault="001F3D44" w:rsidP="001F3D4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b/>
          <w:bCs/>
          <w:u w:val="single"/>
        </w:rPr>
        <w:t>Denbighshire’s Integrated Families First and Flying Start Services – Case Study 2021-22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Joint working between Denbighshire’s Integrated Families First and Flying Start Services - IFFFS (together with statutory services and other agencies) has continued to extend, improving coordination, enhancing our holistic whole-family approach across the Programme – supporting individual services to deliver improved outcomes for families.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Case Study:</w:t>
      </w:r>
      <w:r>
        <w:rPr>
          <w:rFonts w:ascii="Arial" w:hAnsi="Arial" w:cs="Arial"/>
        </w:rPr>
        <w:t xml:space="preserve">  In Term 3, the Flying Start Speech and Language Therapy (FS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>) Service supported 46 children with speech, language and communication needs.  The Service increasingly links with the wider IFFFS Programme and other services as required.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 was referred for FS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through our Flying Start Outreach provision.  He was 2 years old, the youngest of 4 siblings and living with his mother. L’s older sibling was previously referred to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>, but the family did not engage.  L had been referred to Physiotherapy as he was not walking.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was a history of domestic violence, mental health issues, wider family conflict and significant previous involvement with Children’s Services.  Mum’s initial concerns were around safety from her ex-partner, as well as housing, debt and childcare needs.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IFFFS were able to offer wider support with these before addressing L’s learning needs.  FS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linked with Childcare, referred to Families First (Barnardo’s Family Life Skills commissioned project), who signposted to housing/debt advice, and encouraged Mum to access support from her GP with mental health.  The Team (with the Health Visitor), discussed a voluntary referral for child at risk support. Following a professionals’ meeting, this was escalated and led to a CASP meeting and a joint plan/approach.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FS SALT visited the family at home to help prepare Mum to engage with the NHS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Service through the Children’s Development Centre.  The family was offered a package of re-engagement support, including indirect contacts, referrals, direct parent-child interaction therapy sessions and interim strategies for L’s progression. 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To address challenges around engagement, FS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adopted a flexible approach to contact, with phone/ text reminders before visits and opportunities to re-try sessions which had been missed.  Mum was able to build up trust with the Service and began attending health appointments regularly. 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Over the course of L’s FS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support, he progressed from being significantly delayed across all milestones to now meeting eye contact, effectively seeking closeness/hugs from Mum, starting to make noises &amp; babble, and anticipating familiar play routines. He can also now walk.  His NHS care has been re-opened following the family’s engagement and he is awaiting his next therapy offer. </w:t>
      </w:r>
    </w:p>
    <w:p w:rsidR="001F3D44" w:rsidRDefault="001F3D44" w:rsidP="001F3D44">
      <w:pPr>
        <w:spacing w:before="120"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Joint working and information sharing was vital to link with other teams, to determine what was important to the family and to prioritise and escalate support in a timely </w:t>
      </w:r>
      <w:r>
        <w:rPr>
          <w:rFonts w:ascii="Arial" w:hAnsi="Arial" w:cs="Arial"/>
        </w:rPr>
        <w:lastRenderedPageBreak/>
        <w:t>manner.  This facilitated improved outcomes around speech language and communication for L.</w:t>
      </w:r>
    </w:p>
    <w:p w:rsidR="006E3F70" w:rsidRDefault="006E3F70">
      <w:bookmarkStart w:id="0" w:name="_GoBack"/>
      <w:bookmarkEnd w:id="0"/>
    </w:p>
    <w:sectPr w:rsidR="006E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4"/>
    <w:rsid w:val="001F3D44"/>
    <w:rsid w:val="006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B7A9-02C8-41F4-AA8C-39A60E6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Knight</dc:creator>
  <cp:keywords/>
  <dc:description/>
  <cp:lastModifiedBy>Crystal Knight</cp:lastModifiedBy>
  <cp:revision>1</cp:revision>
  <dcterms:created xsi:type="dcterms:W3CDTF">2022-07-22T11:45:00Z</dcterms:created>
  <dcterms:modified xsi:type="dcterms:W3CDTF">2022-07-22T12:01:00Z</dcterms:modified>
</cp:coreProperties>
</file>