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589fdde28a2b493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8CE5" w14:textId="77777777" w:rsidR="000403E4" w:rsidRDefault="000403E4" w:rsidP="000403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4277C420" wp14:editId="4D821828">
            <wp:simplePos x="0" y="0"/>
            <wp:positionH relativeFrom="column">
              <wp:posOffset>8267700</wp:posOffset>
            </wp:positionH>
            <wp:positionV relativeFrom="paragraph">
              <wp:posOffset>0</wp:posOffset>
            </wp:positionV>
            <wp:extent cx="609600" cy="652145"/>
            <wp:effectExtent l="0" t="0" r="0" b="0"/>
            <wp:wrapTight wrapText="bothSides">
              <wp:wrapPolygon edited="0">
                <wp:start x="0" y="0"/>
                <wp:lineTo x="0" y="20822"/>
                <wp:lineTo x="20925" y="20822"/>
                <wp:lineTo x="20925" y="0"/>
                <wp:lineTo x="0" y="0"/>
              </wp:wrapPolygon>
            </wp:wrapTight>
            <wp:docPr id="2" name="Picture 2" descr="Flying Start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ying Start_4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EE910" w14:textId="7F0E017C" w:rsidR="000403E4" w:rsidRDefault="001A081B" w:rsidP="000403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Astudiaeth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Achos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52FB">
        <w:rPr>
          <w:rFonts w:ascii="Arial" w:hAnsi="Arial" w:cs="Arial"/>
          <w:b/>
          <w:sz w:val="24"/>
          <w:szCs w:val="24"/>
          <w:u w:val="single"/>
        </w:rPr>
        <w:t xml:space="preserve">Blaenau Gwent: </w:t>
      </w:r>
      <w:r>
        <w:rPr>
          <w:rFonts w:ascii="Arial" w:hAnsi="Arial" w:cs="Arial"/>
          <w:b/>
          <w:sz w:val="24"/>
          <w:szCs w:val="24"/>
          <w:u w:val="single"/>
        </w:rPr>
        <w:t xml:space="preserve">Cymorth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i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Deuluoedd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052FB">
        <w:rPr>
          <w:rFonts w:ascii="Arial" w:hAnsi="Arial" w:cs="Arial"/>
          <w:b/>
          <w:sz w:val="24"/>
          <w:szCs w:val="24"/>
          <w:u w:val="single"/>
        </w:rPr>
        <w:t>ar</w:t>
      </w:r>
      <w:proofErr w:type="spellEnd"/>
      <w:r w:rsidR="00A052F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052FB">
        <w:rPr>
          <w:rFonts w:ascii="Arial" w:hAnsi="Arial" w:cs="Arial"/>
          <w:b/>
          <w:sz w:val="24"/>
          <w:szCs w:val="24"/>
          <w:u w:val="single"/>
        </w:rPr>
        <w:t>Ffurf</w:t>
      </w:r>
      <w:proofErr w:type="spellEnd"/>
      <w:r w:rsidR="00A052F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Ymyrr</w:t>
      </w:r>
      <w:r w:rsidR="00A052FB">
        <w:rPr>
          <w:rFonts w:ascii="Arial" w:hAnsi="Arial" w:cs="Arial"/>
          <w:b/>
          <w:sz w:val="24"/>
          <w:szCs w:val="24"/>
          <w:u w:val="single"/>
        </w:rPr>
        <w:t>yd</w:t>
      </w:r>
      <w:proofErr w:type="spellEnd"/>
      <w:r w:rsidR="00A052F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052FB">
        <w:rPr>
          <w:rFonts w:ascii="Arial" w:hAnsi="Arial" w:cs="Arial"/>
          <w:b/>
          <w:sz w:val="24"/>
          <w:szCs w:val="24"/>
          <w:u w:val="single"/>
        </w:rPr>
        <w:t>yn</w:t>
      </w:r>
      <w:proofErr w:type="spellEnd"/>
      <w:r w:rsidR="00A052F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052FB">
        <w:rPr>
          <w:rFonts w:ascii="Arial" w:hAnsi="Arial" w:cs="Arial"/>
          <w:b/>
          <w:sz w:val="24"/>
          <w:szCs w:val="24"/>
          <w:u w:val="single"/>
        </w:rPr>
        <w:t>Gynnar</w:t>
      </w:r>
      <w:proofErr w:type="spellEnd"/>
      <w:r w:rsidR="000403E4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Dechrau’n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Deg</w:t>
      </w:r>
      <w:proofErr w:type="spellEnd"/>
      <w:r w:rsidR="000403E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2376"/>
        <w:gridCol w:w="12616"/>
      </w:tblGrid>
      <w:tr w:rsidR="0054436E" w14:paraId="69414DA6" w14:textId="77777777" w:rsidTr="00774295">
        <w:tc>
          <w:tcPr>
            <w:tcW w:w="2376" w:type="dxa"/>
          </w:tcPr>
          <w:p w14:paraId="587FC34F" w14:textId="52FF799C" w:rsidR="00774295" w:rsidRDefault="00774295" w:rsidP="0077429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A081B">
              <w:rPr>
                <w:rFonts w:ascii="Arial" w:hAnsi="Arial" w:cs="Arial"/>
                <w:b/>
                <w:sz w:val="24"/>
                <w:szCs w:val="24"/>
              </w:rPr>
              <w:t>yddiad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16" w:type="dxa"/>
          </w:tcPr>
          <w:p w14:paraId="387485E4" w14:textId="593D0AAA" w:rsidR="00ED4830" w:rsidRPr="000433D3" w:rsidRDefault="00012A91" w:rsidP="00E1076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433D3">
              <w:rPr>
                <w:rFonts w:ascii="Arial" w:hAnsi="Arial" w:cs="Arial"/>
                <w:bCs/>
                <w:sz w:val="24"/>
                <w:szCs w:val="24"/>
              </w:rPr>
              <w:t>08.04.26</w:t>
            </w:r>
          </w:p>
        </w:tc>
      </w:tr>
      <w:tr w:rsidR="0054436E" w14:paraId="25C907D3" w14:textId="77777777" w:rsidTr="00774295">
        <w:tc>
          <w:tcPr>
            <w:tcW w:w="2376" w:type="dxa"/>
          </w:tcPr>
          <w:p w14:paraId="094CC0A2" w14:textId="3B903041" w:rsidR="00774295" w:rsidRDefault="00774295" w:rsidP="0077429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1A081B">
              <w:rPr>
                <w:rFonts w:ascii="Arial" w:hAnsi="Arial" w:cs="Arial"/>
                <w:b/>
                <w:sz w:val="24"/>
                <w:szCs w:val="24"/>
              </w:rPr>
              <w:t>wdur</w:t>
            </w:r>
            <w:proofErr w:type="spellEnd"/>
          </w:p>
        </w:tc>
        <w:tc>
          <w:tcPr>
            <w:tcW w:w="12616" w:type="dxa"/>
          </w:tcPr>
          <w:p w14:paraId="2E6CFA3F" w14:textId="53E8F2AE" w:rsidR="00ED4830" w:rsidRPr="000433D3" w:rsidRDefault="00012A91" w:rsidP="00D40A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433D3">
              <w:rPr>
                <w:rFonts w:ascii="Arial" w:hAnsi="Arial" w:cs="Arial"/>
                <w:bCs/>
                <w:sz w:val="24"/>
                <w:szCs w:val="24"/>
              </w:rPr>
              <w:t>Emma Yendle</w:t>
            </w:r>
          </w:p>
        </w:tc>
      </w:tr>
      <w:tr w:rsidR="0054436E" w14:paraId="629D3A4D" w14:textId="77777777" w:rsidTr="00774295">
        <w:tc>
          <w:tcPr>
            <w:tcW w:w="2376" w:type="dxa"/>
          </w:tcPr>
          <w:p w14:paraId="2C3DE153" w14:textId="19FA9E46" w:rsidR="00774295" w:rsidRPr="001A081B" w:rsidRDefault="001A081B" w:rsidP="00774295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1A081B">
              <w:rPr>
                <w:rFonts w:ascii="Arial" w:hAnsi="Arial" w:cs="Arial"/>
                <w:b/>
                <w:sz w:val="24"/>
                <w:szCs w:val="24"/>
                <w:lang w:val="es-ES"/>
              </w:rPr>
              <w:t>Pa raglen</w:t>
            </w:r>
            <w:r w:rsidR="00606D50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a</w:t>
            </w:r>
            <w:r w:rsidRPr="001A081B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arweinio</w:t>
            </w:r>
            <w:r w:rsidR="00606D50">
              <w:rPr>
                <w:rFonts w:ascii="Arial" w:hAnsi="Arial" w:cs="Arial"/>
                <w:b/>
                <w:sz w:val="24"/>
                <w:szCs w:val="24"/>
                <w:lang w:val="es-ES"/>
              </w:rPr>
              <w:t>dd</w:t>
            </w:r>
            <w:r w:rsidRPr="001A081B">
              <w:rPr>
                <w:rFonts w:ascii="Arial" w:hAnsi="Arial" w:cs="Arial"/>
                <w:b/>
                <w:sz w:val="24"/>
                <w:szCs w:val="24"/>
                <w:lang w:val="es-ES"/>
              </w:rPr>
              <w:t>?</w:t>
            </w:r>
          </w:p>
        </w:tc>
        <w:tc>
          <w:tcPr>
            <w:tcW w:w="12616" w:type="dxa"/>
          </w:tcPr>
          <w:p w14:paraId="5CFA056B" w14:textId="6DBE02D3" w:rsidR="00774295" w:rsidRPr="000433D3" w:rsidRDefault="001A081B" w:rsidP="000433D3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Dechrau’n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Deg</w:t>
            </w:r>
            <w:proofErr w:type="spellEnd"/>
            <w:r w:rsidR="000433D3" w:rsidRPr="000433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EAEB2A8" w14:textId="0F6E0222" w:rsidR="00ED4830" w:rsidRPr="000433D3" w:rsidRDefault="00ED4830" w:rsidP="00D40A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08E09A" w14:textId="77777777" w:rsidR="00ED4830" w:rsidRPr="000433D3" w:rsidRDefault="00ED4830" w:rsidP="000403E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4436E" w14:paraId="0DDEA06A" w14:textId="77777777" w:rsidTr="00774295">
        <w:tc>
          <w:tcPr>
            <w:tcW w:w="2376" w:type="dxa"/>
          </w:tcPr>
          <w:p w14:paraId="44D28B51" w14:textId="35E15F57" w:rsidR="00774295" w:rsidRDefault="001A081B" w:rsidP="0077429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Cyfansoddiad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teulu</w:t>
            </w:r>
            <w:proofErr w:type="spellEnd"/>
          </w:p>
        </w:tc>
        <w:tc>
          <w:tcPr>
            <w:tcW w:w="12616" w:type="dxa"/>
          </w:tcPr>
          <w:p w14:paraId="2751F2DC" w14:textId="38238BFD" w:rsidR="00774295" w:rsidRPr="00A313DD" w:rsidRDefault="001A081B" w:rsidP="006B3C83">
            <w:pPr>
              <w:rPr>
                <w:rFonts w:ascii="Arial" w:hAnsi="Arial" w:cs="Arial"/>
                <w:sz w:val="24"/>
                <w:szCs w:val="24"/>
              </w:rPr>
            </w:pPr>
            <w:r w:rsidRPr="001A081B">
              <w:rPr>
                <w:rFonts w:ascii="Arial" w:hAnsi="Arial" w:cs="Arial"/>
                <w:sz w:val="24"/>
                <w:szCs w:val="24"/>
              </w:rPr>
              <w:t>Mam, Dad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1A081B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1A081B">
              <w:rPr>
                <w:rFonts w:ascii="Arial" w:hAnsi="Arial" w:cs="Arial"/>
                <w:sz w:val="24"/>
                <w:szCs w:val="24"/>
              </w:rPr>
              <w:t>thri</w:t>
            </w:r>
            <w:proofErr w:type="spellEnd"/>
            <w:r w:rsidRPr="001A081B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1A081B">
              <w:rPr>
                <w:rFonts w:ascii="Arial" w:hAnsi="Arial" w:cs="Arial"/>
                <w:sz w:val="24"/>
                <w:szCs w:val="24"/>
              </w:rPr>
              <w:t>blant</w:t>
            </w:r>
            <w:proofErr w:type="spellEnd"/>
            <w:r w:rsidRPr="001A081B">
              <w:rPr>
                <w:rFonts w:ascii="Arial" w:hAnsi="Arial" w:cs="Arial"/>
                <w:sz w:val="24"/>
                <w:szCs w:val="24"/>
              </w:rPr>
              <w:t xml:space="preserve"> dan bum </w:t>
            </w:r>
            <w:proofErr w:type="spellStart"/>
            <w:r w:rsidRPr="001A081B">
              <w:rPr>
                <w:rFonts w:ascii="Arial" w:hAnsi="Arial" w:cs="Arial"/>
                <w:sz w:val="24"/>
                <w:szCs w:val="24"/>
              </w:rPr>
              <w:t>mlwydd</w:t>
            </w:r>
            <w:proofErr w:type="spellEnd"/>
            <w:r w:rsidRPr="001A08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sz w:val="24"/>
                <w:szCs w:val="24"/>
              </w:rPr>
              <w:t>oed</w:t>
            </w:r>
            <w:proofErr w:type="spellEnd"/>
          </w:p>
        </w:tc>
      </w:tr>
      <w:tr w:rsidR="0054436E" w14:paraId="3F43FC37" w14:textId="77777777" w:rsidTr="00774295">
        <w:tc>
          <w:tcPr>
            <w:tcW w:w="2376" w:type="dxa"/>
          </w:tcPr>
          <w:p w14:paraId="30BCC8B8" w14:textId="426F098E" w:rsidR="00774295" w:rsidRDefault="001A081B" w:rsidP="0077429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A081B">
              <w:rPr>
                <w:rFonts w:ascii="Arial" w:hAnsi="Arial" w:cs="Arial"/>
                <w:b/>
                <w:sz w:val="24"/>
                <w:szCs w:val="24"/>
              </w:rPr>
              <w:t>Ffynhonnell</w:t>
            </w:r>
            <w:proofErr w:type="spellEnd"/>
            <w:r w:rsidR="00606D50">
              <w:rPr>
                <w:rFonts w:ascii="Arial" w:hAnsi="Arial" w:cs="Arial"/>
                <w:b/>
                <w:sz w:val="24"/>
                <w:szCs w:val="24"/>
              </w:rPr>
              <w:t xml:space="preserve"> yr</w:t>
            </w:r>
            <w:r w:rsidRPr="001A08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/>
                <w:sz w:val="24"/>
                <w:szCs w:val="24"/>
              </w:rPr>
              <w:t>atgyfeiri</w:t>
            </w:r>
            <w:r w:rsidR="00606D50">
              <w:rPr>
                <w:rFonts w:ascii="Arial" w:hAnsi="Arial" w:cs="Arial"/>
                <w:b/>
                <w:sz w:val="24"/>
                <w:szCs w:val="24"/>
              </w:rPr>
              <w:t>ad</w:t>
            </w:r>
            <w:proofErr w:type="spellEnd"/>
          </w:p>
        </w:tc>
        <w:tc>
          <w:tcPr>
            <w:tcW w:w="12616" w:type="dxa"/>
          </w:tcPr>
          <w:p w14:paraId="5021E466" w14:textId="264087B5" w:rsidR="00ED4830" w:rsidRPr="00A313DD" w:rsidRDefault="001A081B" w:rsidP="00E1076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Ymwelydd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iechyd</w:t>
            </w:r>
            <w:r w:rsidR="000433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4436E" w14:paraId="35651B80" w14:textId="77777777" w:rsidTr="00774295">
        <w:tc>
          <w:tcPr>
            <w:tcW w:w="2376" w:type="dxa"/>
          </w:tcPr>
          <w:p w14:paraId="2E2F97AF" w14:textId="61B089CD" w:rsidR="00774295" w:rsidRDefault="001A081B" w:rsidP="0077429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A081B">
              <w:rPr>
                <w:rFonts w:ascii="Arial" w:hAnsi="Arial" w:cs="Arial"/>
                <w:b/>
                <w:sz w:val="24"/>
                <w:szCs w:val="24"/>
              </w:rPr>
              <w:t>Disgrifiad</w:t>
            </w:r>
            <w:proofErr w:type="spellEnd"/>
            <w:r w:rsidRPr="001A08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>’</w:t>
            </w:r>
            <w:r w:rsidRPr="001A081B">
              <w:rPr>
                <w:rFonts w:ascii="Arial" w:hAnsi="Arial" w:cs="Arial"/>
                <w:b/>
                <w:sz w:val="24"/>
                <w:szCs w:val="24"/>
              </w:rPr>
              <w:t>r</w:t>
            </w:r>
            <w:proofErr w:type="spellEnd"/>
            <w:r w:rsidRPr="001A08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cymorth</w:t>
            </w:r>
            <w:proofErr w:type="spellEnd"/>
            <w:r w:rsidRPr="001A081B"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proofErr w:type="spellStart"/>
            <w:r w:rsidRPr="001A081B">
              <w:rPr>
                <w:rFonts w:ascii="Arial" w:hAnsi="Arial" w:cs="Arial"/>
                <w:b/>
                <w:sz w:val="24"/>
                <w:szCs w:val="24"/>
              </w:rPr>
              <w:t>ddarparwyd</w:t>
            </w:r>
            <w:proofErr w:type="spellEnd"/>
            <w:r w:rsidRPr="001A081B">
              <w:rPr>
                <w:rFonts w:ascii="Arial" w:hAnsi="Arial" w:cs="Arial"/>
                <w:b/>
                <w:sz w:val="24"/>
                <w:szCs w:val="24"/>
              </w:rPr>
              <w:t xml:space="preserve"> – faint</w:t>
            </w:r>
            <w:r w:rsidR="00606D5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606D50">
              <w:rPr>
                <w:rFonts w:ascii="Arial" w:hAnsi="Arial" w:cs="Arial"/>
                <w:b/>
                <w:sz w:val="24"/>
                <w:szCs w:val="24"/>
              </w:rPr>
              <w:t>ydoedd</w:t>
            </w:r>
            <w:proofErr w:type="spellEnd"/>
            <w:r w:rsidRPr="001A081B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12616" w:type="dxa"/>
          </w:tcPr>
          <w:p w14:paraId="1D3CAB5F" w14:textId="499863DF" w:rsidR="006D0823" w:rsidRDefault="001A081B" w:rsidP="006D082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ddechrau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roedd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anodd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ymgysylltu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â’r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teulu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Roedd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ddau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riant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wedi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cael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nifer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brofiadau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niweidiol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ystod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plentyndod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ac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benodol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mynegodd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fam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ddiffyg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ymddiriedaeth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gref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mewn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ysgolion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gweithwyr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proffesiynol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ehangach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O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ganlyniad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hanesyddol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roedd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teulu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wedi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osgoi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ymgysylltu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â </w:t>
            </w:r>
            <w:proofErr w:type="spellStart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gwasanaethau</w:t>
            </w:r>
            <w:proofErr w:type="spellEnd"/>
            <w:r w:rsidRPr="001A081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00B401A8" w14:textId="77777777" w:rsidR="001A081B" w:rsidRPr="000433D3" w:rsidRDefault="001A081B" w:rsidP="006D082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B8714C2" w14:textId="4294F712" w:rsidR="006D0823" w:rsidRPr="000433D3" w:rsidRDefault="0015315B" w:rsidP="006D082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Gwnaed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cyswllt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cychwynnol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drwy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gynnig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cyfle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’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fam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fynychu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rhaglen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goginio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gyllideb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gyflwynwyd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ganolfan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ymunedol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Dewiswyd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yr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ymyr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iad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hwn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fel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dull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lefel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isel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seiliedig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gryfderau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ddechrau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meithrin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perthynas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Cynlluniwyd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rhaglen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wreiddiol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redeg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am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bedair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sesiwn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fodd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bynnag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oherwydd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adborth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cadarnhaol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fam a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mwy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ymgysylltiad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cynigiwyd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dwy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sesiwn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arall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Yn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ystod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yr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amser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hwn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ffurfiodd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fam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berthynas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gad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arnhaol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â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chymar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arall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oedd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mynychu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helpu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leihau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theimlad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fod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ynysig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ymhellach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65959CF7" w14:textId="77777777" w:rsidR="000433D3" w:rsidRPr="006D0823" w:rsidRDefault="000433D3" w:rsidP="006D082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3E0F41A" w14:textId="14E248EA" w:rsidR="006D0823" w:rsidRPr="000433D3" w:rsidRDefault="0015315B" w:rsidP="006D082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ôl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cwblhau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’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sesiynau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coginio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ymgynghorwyd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â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’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cyfranogwyr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ynghylch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ymorth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ellach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byddent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ael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fuddiol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Mynegodd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pob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rhiant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ddiddordeb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mewn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rhaglen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rianta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gynnwys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fam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yr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oedd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anodd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ymgysylltu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â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hi’n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gynt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Mewn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ymateb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cyflwynwyd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rhaglen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rianta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dechreuodd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fam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fynychu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sesiynau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wythnosol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gyson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Dechreuodd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hefyd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fynd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’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ganolfan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annibynnol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geisio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cyngor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ch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ymorth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ychwanegol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ddangos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bod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ymddiriedaeth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wedi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’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sefydlu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’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llwyddiannus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Er bod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ymgysylltiad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wedi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gwella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parhaodd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fam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fod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wyliadwrus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ac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roedd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aml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siarad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negyddol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am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phlant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Er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gwaethaf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derbyn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canllawiau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strategaethau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rheoli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ymddygiad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cadarnhaol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roedd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amlwg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bod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dull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rhianta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wedi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’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ddylanwadu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’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fawr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phrofiadau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hun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yst</w:t>
            </w:r>
            <w:r w:rsidR="00606D5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od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lentyndod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 bod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strategaethau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amgen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anghyfarwydd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iddi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69D9B1BF" w14:textId="77777777" w:rsidR="000433D3" w:rsidRPr="006D0823" w:rsidRDefault="000433D3" w:rsidP="006D082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38014E28" w14:textId="64130956" w:rsidR="006D0823" w:rsidRDefault="0015315B" w:rsidP="006D082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Wrth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’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rhaglen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rianta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ddod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ben,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rhoddwyd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ystyri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aeth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ynnal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ymgysylltiad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dyfnhau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dealltwriaeth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fyfyriol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Felly,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cyflwynwyd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cwrs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ymwybyddiaeth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brofiadau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niweidiol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ystod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plentyndod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wedi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’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lywio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ddatgeliadau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wnaeth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fam am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magwraeth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="00606D5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ystyri</w:t>
            </w:r>
            <w:r w:rsidR="00606D5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wyd</w:t>
            </w:r>
            <w:proofErr w:type="spellEnd"/>
            <w:r w:rsidR="00606D5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“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normal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”</w:t>
            </w:r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6D5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ganddi</w:t>
            </w:r>
            <w:proofErr w:type="spellEnd"/>
            <w:r w:rsidR="00606D5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ond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oedd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debygol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fod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drawmatig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Cytunodd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fam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gymryd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rhan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ôl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datblygu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ymdeimlad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ddiogelwch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chysylltiad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fewn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amgylchedd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ganolfan</w:t>
            </w:r>
            <w:proofErr w:type="spellEnd"/>
            <w:r w:rsidRPr="0015315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3DAA6D39" w14:textId="77777777" w:rsidR="000433D3" w:rsidRPr="000433D3" w:rsidRDefault="000433D3" w:rsidP="006D082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5201DAA" w14:textId="176A045C" w:rsidR="006D0823" w:rsidRDefault="00A77987" w:rsidP="006D082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Digwyddodd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newid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sylweddol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ystod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rhaglen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profiadau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niweidiol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ystod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plentyndod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Yn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ystod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sesiwn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archwilio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patrymau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ymddygiad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sy’n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pontio’r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cenedlaethau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gofynnodd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fam </w:t>
            </w:r>
            <w:proofErr w:type="gram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oedd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gallu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cael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sgwrs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breifat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dilyn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fideo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emosiynol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Yn y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drafodaeth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hon,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daeth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emosiynol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iawn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datgelodd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bod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wedi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sylweddoli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bod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hymddygiadau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hun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effeithio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’</w:t>
            </w:r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negyddol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phlant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Mynegodd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bryder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am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ffrwydradau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dig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mynych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cartref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datgelodd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anawsterau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iechyd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meddwl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difrifol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gan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gynnwys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ymdrechion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hunanladdiad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blaenorol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wrth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ofalu</w:t>
            </w:r>
            <w:proofErr w:type="spellEnd"/>
            <w:r w:rsidRPr="00A779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am y plant.</w:t>
            </w:r>
          </w:p>
          <w:p w14:paraId="2DBD2468" w14:textId="77777777" w:rsidR="000433D3" w:rsidRPr="000433D3" w:rsidRDefault="000433D3" w:rsidP="006D082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C1EC106" w14:textId="31F6EA16" w:rsidR="006D0823" w:rsidRDefault="00361DE0" w:rsidP="006D082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Ymdriniwyd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â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’</w:t>
            </w:r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datgeliad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hwn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sensitif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gyda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sicrwydd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cael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roi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bod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siarad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agored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gam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cadarnhaol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tuag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gael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ymorth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briodol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Mynychodd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tad y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ganolfan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hefyd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rhannodd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agweddau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drawma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hun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fel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plentyn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Gyda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chydsyniad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y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rhieni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sylw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dyl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adwy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gyfrifoldebau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diogelu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gwnaed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atgyfeiriadau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’</w:t>
            </w:r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gwasanaethau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cymdeithasol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’</w:t>
            </w:r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gwasanaethau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iechyd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meddwl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sefydlwyd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dull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amlasiantaeth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gefnogi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’</w:t>
            </w:r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teulu</w:t>
            </w:r>
            <w:proofErr w:type="spellEnd"/>
            <w:r w:rsidRPr="00361DE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123F8805" w14:textId="77777777" w:rsidR="000433D3" w:rsidRPr="000433D3" w:rsidRDefault="000433D3" w:rsidP="006D082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2DFDAD9" w14:textId="42165C18" w:rsidR="006D0823" w:rsidRPr="000433D3" w:rsidRDefault="007A317C" w:rsidP="006D082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ôl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cwblhau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’</w:t>
            </w:r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rhaglen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profiadau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niweidiol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ystod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plentyndod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parhaodd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gwaith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gyda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ffocws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feithrin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hyder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ac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atgyfnerthu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arferion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rhianta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cadarnhaol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Darparwyd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ymorth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dwys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dros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gyfnod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bron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ddwy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flynedd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trwy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raglenni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wedi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’</w:t>
            </w:r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teilwra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sesiynau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unigol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gynlluniwyd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wella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hunan-barch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rhieni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rheoleiddio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emosiynol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gallu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rhianta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226D7160" w14:textId="77777777" w:rsidR="000433D3" w:rsidRPr="006D0823" w:rsidRDefault="000433D3" w:rsidP="006D082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9793660" w14:textId="6D4907A5" w:rsidR="006D0823" w:rsidRPr="000433D3" w:rsidRDefault="007A317C" w:rsidP="006D082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Dros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gyfnod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ychydig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dros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ddwy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flynedd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cyflawnodd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teulu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newid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cadarnhaol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sylweddol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pharhaus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Adlewyrchwyd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trawsnewidiad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hwn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nid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unig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mewn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gwell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gallu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rhianta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lles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emosiynol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ond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mewn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perthnasoedd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teuluol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cryfach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mwy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wydnwch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gwell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canlyniadau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bywyd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rieni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phlant</w:t>
            </w:r>
            <w:proofErr w:type="spellEnd"/>
            <w:r w:rsidRPr="007A317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17C6818F" w14:textId="06F4E276" w:rsidR="008269F1" w:rsidRPr="00A4011F" w:rsidRDefault="008269F1" w:rsidP="006B3C8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4436E" w14:paraId="220C62DD" w14:textId="77777777" w:rsidTr="00774295">
        <w:tc>
          <w:tcPr>
            <w:tcW w:w="2376" w:type="dxa"/>
          </w:tcPr>
          <w:p w14:paraId="02DCBB18" w14:textId="2D726031" w:rsidR="00774295" w:rsidRDefault="007A317C" w:rsidP="0077429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Asiantaethau</w:t>
            </w:r>
            <w:proofErr w:type="spellEnd"/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eraill</w:t>
            </w:r>
            <w:proofErr w:type="spellEnd"/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gramEnd"/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oedd</w:t>
            </w:r>
            <w:proofErr w:type="spellEnd"/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yn</w:t>
            </w:r>
            <w:proofErr w:type="spellEnd"/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rhan</w:t>
            </w:r>
            <w:proofErr w:type="spellEnd"/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>’</w:t>
            </w:r>
            <w:r w:rsidRPr="007A317C">
              <w:rPr>
                <w:rFonts w:ascii="Arial" w:hAnsi="Arial" w:cs="Arial"/>
                <w:b/>
                <w:sz w:val="24"/>
                <w:szCs w:val="24"/>
              </w:rPr>
              <w:t>r</w:t>
            </w:r>
            <w:proofErr w:type="spellEnd"/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broses?</w:t>
            </w:r>
          </w:p>
        </w:tc>
        <w:tc>
          <w:tcPr>
            <w:tcW w:w="12616" w:type="dxa"/>
          </w:tcPr>
          <w:p w14:paraId="176BEA68" w14:textId="27F10866" w:rsidR="00774295" w:rsidRPr="00C8119F" w:rsidRDefault="007A317C" w:rsidP="0020010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Lluosi</w:t>
            </w:r>
            <w:proofErr w:type="spellEnd"/>
            <w:r w:rsidR="006D082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Llwybrau</w:t>
            </w:r>
            <w:proofErr w:type="spellEnd"/>
            <w:r w:rsidR="006D0823">
              <w:rPr>
                <w:rFonts w:ascii="Arial" w:hAnsi="Arial" w:cs="Arial"/>
                <w:sz w:val="24"/>
                <w:szCs w:val="24"/>
              </w:rPr>
              <w:t xml:space="preserve"> Blaenau Gwent</w:t>
            </w:r>
          </w:p>
        </w:tc>
      </w:tr>
      <w:tr w:rsidR="0054436E" w14:paraId="5527E6CC" w14:textId="77777777" w:rsidTr="00774295">
        <w:tc>
          <w:tcPr>
            <w:tcW w:w="2376" w:type="dxa"/>
          </w:tcPr>
          <w:p w14:paraId="50396BE9" w14:textId="0834C4AC" w:rsidR="00774295" w:rsidRDefault="007A317C" w:rsidP="00774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hyn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</w:t>
            </w:r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weithiodd</w:t>
            </w:r>
            <w:proofErr w:type="spellEnd"/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yn</w:t>
            </w:r>
            <w:proofErr w:type="spellEnd"/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dda</w:t>
            </w:r>
            <w:proofErr w:type="spellEnd"/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>ymorth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gan</w:t>
            </w:r>
            <w:proofErr w:type="spellEnd"/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weith</w:t>
            </w:r>
            <w:r>
              <w:rPr>
                <w:rFonts w:ascii="Arial" w:hAnsi="Arial" w:cs="Arial"/>
                <w:b/>
                <w:sz w:val="24"/>
                <w:szCs w:val="24"/>
              </w:rPr>
              <w:t>wr</w:t>
            </w:r>
            <w:proofErr w:type="spellEnd"/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cymorth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deuluoedd</w:t>
            </w:r>
            <w:proofErr w:type="spellEnd"/>
            <w:r w:rsidRPr="007A317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2616" w:type="dxa"/>
          </w:tcPr>
          <w:p w14:paraId="2F0104F5" w14:textId="7C4C6626" w:rsidR="00774295" w:rsidRPr="006D0823" w:rsidRDefault="007A317C" w:rsidP="006D082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Roedd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hanfodol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meithrin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ymddiriedaeth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gyda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A317C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teulu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, ac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roeddwn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A317C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cydnabod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bod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y fam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ddiddordeb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coginio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Datblygais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raglen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goginio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strwythuredig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ymlaen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llaw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, a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chymerodd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y fam ran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7A317C">
              <w:rPr>
                <w:rFonts w:ascii="Arial" w:hAnsi="Arial" w:cs="Arial"/>
                <w:sz w:val="24"/>
                <w:szCs w:val="24"/>
              </w:rPr>
              <w:t>disgwyliwyd</w:t>
            </w:r>
            <w:proofErr w:type="spellEnd"/>
            <w:r w:rsidRPr="007A31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4436E" w14:paraId="4985A781" w14:textId="77777777" w:rsidTr="00774295">
        <w:tc>
          <w:tcPr>
            <w:tcW w:w="2376" w:type="dxa"/>
          </w:tcPr>
          <w:p w14:paraId="76CDF7FF" w14:textId="26EC2757" w:rsidR="00774295" w:rsidRDefault="007A317C" w:rsidP="0077429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Unrhyw</w:t>
            </w:r>
            <w:proofErr w:type="spellEnd"/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broblemau</w:t>
            </w:r>
            <w:proofErr w:type="spellEnd"/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neu </w:t>
            </w: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heriau</w:t>
            </w:r>
            <w:proofErr w:type="spellEnd"/>
          </w:p>
        </w:tc>
        <w:tc>
          <w:tcPr>
            <w:tcW w:w="12616" w:type="dxa"/>
          </w:tcPr>
          <w:p w14:paraId="6DE01B56" w14:textId="2C0608C8" w:rsidR="006D0823" w:rsidRPr="00FF6BD1" w:rsidRDefault="007A317C" w:rsidP="00FF6BD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Roedd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nifer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o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heriau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drwy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gydol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y broses,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enwedig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o ran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amharodrwydd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Mam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fynegi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ei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theimladau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. Yn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ogystal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roedd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anodd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gweld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Mam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dangos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negyddiaeth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tuag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at y plant;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ar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adegau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roedd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ymddangos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nad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oedd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hi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Pr="007A317C">
              <w:rPr>
                <w:rFonts w:ascii="Arial" w:hAnsi="Arial" w:cs="Arial"/>
                <w:bCs/>
                <w:sz w:val="24"/>
                <w:szCs w:val="24"/>
              </w:rPr>
              <w:t>n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ymgysylltu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Pr="007A317C">
              <w:rPr>
                <w:rFonts w:ascii="Arial" w:hAnsi="Arial" w:cs="Arial"/>
                <w:bCs/>
                <w:sz w:val="24"/>
                <w:szCs w:val="24"/>
              </w:rPr>
              <w:t>n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llawn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â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Pr="007A317C">
              <w:rPr>
                <w:rFonts w:ascii="Arial" w:hAnsi="Arial" w:cs="Arial"/>
                <w:bCs/>
                <w:sz w:val="24"/>
                <w:szCs w:val="24"/>
              </w:rPr>
              <w:t>r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sefyllfa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, a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gododd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bryderon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ynghylch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y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potensial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ar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gyfer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newid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Cs/>
                <w:sz w:val="24"/>
                <w:szCs w:val="24"/>
              </w:rPr>
              <w:t>cadarnhaol</w:t>
            </w:r>
            <w:proofErr w:type="spellEnd"/>
            <w:r w:rsidRPr="007A317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A317C" w14:paraId="41F2BC26" w14:textId="77777777" w:rsidTr="00774295">
        <w:tc>
          <w:tcPr>
            <w:tcW w:w="2376" w:type="dxa"/>
          </w:tcPr>
          <w:p w14:paraId="2777E40B" w14:textId="3EE229E6" w:rsidR="007A317C" w:rsidRDefault="007A317C" w:rsidP="007A317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Canlyniad</w:t>
            </w:r>
            <w:proofErr w:type="spellEnd"/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ymyr</w:t>
            </w:r>
            <w:r>
              <w:rPr>
                <w:rFonts w:ascii="Arial" w:hAnsi="Arial" w:cs="Arial"/>
                <w:b/>
                <w:sz w:val="24"/>
                <w:szCs w:val="24"/>
              </w:rPr>
              <w:t>iad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y</w:t>
            </w:r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gweithiwr</w:t>
            </w:r>
            <w:proofErr w:type="spellEnd"/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cymorth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spellEnd"/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7A317C">
              <w:rPr>
                <w:rFonts w:ascii="Arial" w:hAnsi="Arial" w:cs="Arial"/>
                <w:b/>
                <w:sz w:val="24"/>
                <w:szCs w:val="24"/>
              </w:rPr>
              <w:t>euluo</w:t>
            </w:r>
            <w:r>
              <w:rPr>
                <w:rFonts w:ascii="Arial" w:hAnsi="Arial" w:cs="Arial"/>
                <w:b/>
                <w:sz w:val="24"/>
                <w:szCs w:val="24"/>
              </w:rPr>
              <w:t>edd</w:t>
            </w:r>
            <w:proofErr w:type="spellEnd"/>
          </w:p>
        </w:tc>
        <w:tc>
          <w:tcPr>
            <w:tcW w:w="12616" w:type="dxa"/>
          </w:tcPr>
          <w:p w14:paraId="60FF6C83" w14:textId="558487C8" w:rsidR="007A317C" w:rsidRPr="006B3C83" w:rsidRDefault="00F601EC" w:rsidP="007A317C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Drwy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sefydlu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perthynas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gref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gyda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Pr="00F601EC">
              <w:rPr>
                <w:rFonts w:ascii="Arial" w:hAnsi="Arial" w:cs="Arial"/>
                <w:bCs/>
                <w:sz w:val="24"/>
                <w:szCs w:val="24"/>
              </w:rPr>
              <w:t>r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teulu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roeddwn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Pr="00F601EC">
              <w:rPr>
                <w:rFonts w:ascii="Arial" w:hAnsi="Arial" w:cs="Arial"/>
                <w:bCs/>
                <w:sz w:val="24"/>
                <w:szCs w:val="24"/>
              </w:rPr>
              <w:t>n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gallu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cydweithio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Pr="00F601EC">
              <w:rPr>
                <w:rFonts w:ascii="Arial" w:hAnsi="Arial" w:cs="Arial"/>
                <w:bCs/>
                <w:sz w:val="24"/>
                <w:szCs w:val="24"/>
              </w:rPr>
              <w:t>n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effeithiol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a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darparu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strategaethau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ymarferol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a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gyfrannodd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gadarnhaol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at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eu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bywyd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bob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dydd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. Er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i’r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broses o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gefnogi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Pr="00F601EC">
              <w:rPr>
                <w:rFonts w:ascii="Arial" w:hAnsi="Arial" w:cs="Arial"/>
                <w:bCs/>
                <w:sz w:val="24"/>
                <w:szCs w:val="24"/>
              </w:rPr>
              <w:t>r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teulu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weithredu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newidiadau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angenrheidiol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ara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bron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ddwy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flynedd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y pen draw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fe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wnaeth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ganiatáu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iddynt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gyflawni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gwelliannau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hirhoedlog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 xml:space="preserve"> a </w:t>
            </w:r>
            <w:proofErr w:type="spellStart"/>
            <w:r w:rsidRPr="00F601EC">
              <w:rPr>
                <w:rFonts w:ascii="Arial" w:hAnsi="Arial" w:cs="Arial"/>
                <w:bCs/>
                <w:sz w:val="24"/>
                <w:szCs w:val="24"/>
              </w:rPr>
              <w:t>chynaliadwy</w:t>
            </w:r>
            <w:proofErr w:type="spellEnd"/>
            <w:r w:rsidRPr="00F601E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A317C" w14:paraId="17F7E100" w14:textId="77777777" w:rsidTr="00774295">
        <w:tc>
          <w:tcPr>
            <w:tcW w:w="2376" w:type="dxa"/>
          </w:tcPr>
          <w:p w14:paraId="1828E07D" w14:textId="0722621B" w:rsidR="007A317C" w:rsidRDefault="007A317C" w:rsidP="007A317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Canlyniad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yr</w:t>
            </w:r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ymyr</w:t>
            </w:r>
            <w:r>
              <w:rPr>
                <w:rFonts w:ascii="Arial" w:hAnsi="Arial" w:cs="Arial"/>
                <w:b/>
                <w:sz w:val="24"/>
                <w:szCs w:val="24"/>
              </w:rPr>
              <w:t>iad</w:t>
            </w:r>
            <w:proofErr w:type="spellEnd"/>
            <w:r w:rsidRP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A317C">
              <w:rPr>
                <w:rFonts w:ascii="Arial" w:hAnsi="Arial" w:cs="Arial"/>
                <w:b/>
                <w:sz w:val="24"/>
                <w:szCs w:val="24"/>
              </w:rPr>
              <w:t>teuluol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16" w:type="dxa"/>
          </w:tcPr>
          <w:p w14:paraId="6AFEC712" w14:textId="003FF74D" w:rsidR="007A317C" w:rsidRDefault="0058516B" w:rsidP="007A317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Roedd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cynnydd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raddol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fodd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bynnag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daeth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newid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ystyrlon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gynyddol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amlwg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ôl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tua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blwyddyn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gwelwyd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gwelliannau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dulliau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rhianta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perthnasoedd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teuluol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, a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lles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emosiynol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Roedd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y plant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ymddangos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fwy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sefydlog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bodlon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, a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dangosodd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ddau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riant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gymhelliant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cynyddol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ddarparu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profiadau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bywyd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cadarnhaol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nad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oeddent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hwy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hunain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mynediad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atynt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ystod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plentyndod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Wrth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58516B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teulu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agosáu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ddiwedd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ymyriadau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Dechrau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58516B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Deg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oedd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archwiliwyd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cyfleoedd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dilyniant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amgen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Nodwyd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rhaglen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Lluosi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, ac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anogwyd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y fam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58516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chy</w:t>
            </w:r>
            <w:r w:rsidR="00606D50">
              <w:rPr>
                <w:rFonts w:ascii="Arial" w:hAnsi="Arial" w:cs="Arial"/>
                <w:sz w:val="24"/>
                <w:szCs w:val="24"/>
              </w:rPr>
              <w:t>mheiriaid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fynychu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. Er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gwaethaf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petruso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ddechrau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wyneb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hwyluswyr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newydd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cytunodd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y fam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fynd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ôl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sicrwydd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phresenoldeb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cychwynnol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chymorth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Roedd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cymryd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rhaglen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Lluosi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cryfhau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hyder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annibyniaeth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 xml:space="preserve"> y fam </w:t>
            </w:r>
            <w:proofErr w:type="spellStart"/>
            <w:r w:rsidRPr="0058516B">
              <w:rPr>
                <w:rFonts w:ascii="Arial" w:hAnsi="Arial" w:cs="Arial"/>
                <w:sz w:val="24"/>
                <w:szCs w:val="24"/>
              </w:rPr>
              <w:t>ymhellach</w:t>
            </w:r>
            <w:proofErr w:type="spellEnd"/>
            <w:r w:rsidRPr="0058516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29E9F1" w14:textId="77777777" w:rsidR="007A317C" w:rsidRDefault="007A317C" w:rsidP="007A31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39AEEF" w14:textId="309E587B" w:rsidR="007A317C" w:rsidRDefault="00D573F7" w:rsidP="007A317C">
            <w:pPr>
              <w:rPr>
                <w:rFonts w:ascii="Arial" w:hAnsi="Arial" w:cs="Arial"/>
                <w:sz w:val="24"/>
                <w:szCs w:val="24"/>
              </w:rPr>
            </w:pPr>
            <w:r w:rsidRPr="00D573F7">
              <w:rPr>
                <w:rFonts w:ascii="Arial" w:hAnsi="Arial" w:cs="Arial"/>
                <w:sz w:val="24"/>
                <w:szCs w:val="24"/>
              </w:rPr>
              <w:t xml:space="preserve">Pan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drodd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plentyn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ieuengaf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bedair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oed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gadawodd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teulu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D573F7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llwyth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achosion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fodd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bynnag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parhaodd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y fam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ymgysylltu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D573F7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llwyddiannus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â</w:t>
            </w:r>
            <w:r>
              <w:rPr>
                <w:rFonts w:ascii="Arial" w:hAnsi="Arial" w:cs="Arial"/>
                <w:sz w:val="24"/>
                <w:szCs w:val="24"/>
              </w:rPr>
              <w:t>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rhaglen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Lluosi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. Yn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ddiweddarach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gwahoddwyd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ddau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riant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fynychu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grŵp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ffocws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ynghylch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ymddygiad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lleoliadau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ysgol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Rhannodd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rhieni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ddiweddariadau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cadarnhaol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sylweddol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gynnwys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bod y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ddau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bellach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cyflogaeth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amser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llawn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Roedd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y tad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hyfforddi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gweithiwr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cymorth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blant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phobl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ifanc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, ac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roedd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y fam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sicrhau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cyflogaeth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manwerthu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ystod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oriau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ysgol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Roedd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ddau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riant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hefyd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pasio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prawf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gyrru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roedd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teulu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car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hunain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bellach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. Yn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ystod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sesiwn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grŵp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ffocws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dangosodd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y fam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strategaethau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rhianta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cynnes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chadarnhaol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wrth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ryngweithio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â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D573F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phlant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Siaradodd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amdanynt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gadarnhaol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dangosodd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falchder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mwynhad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gweladwy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wrth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harsylwi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D573F7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chwarae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47817F" w14:textId="77777777" w:rsidR="007A317C" w:rsidRDefault="007A317C" w:rsidP="007A31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7F4D1" w14:textId="5B3CA4BC" w:rsidR="007A317C" w:rsidRPr="00176BE8" w:rsidRDefault="00D573F7" w:rsidP="007A317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Mae</w:t>
            </w:r>
            <w:r>
              <w:rPr>
                <w:rFonts w:ascii="Arial" w:hAnsi="Arial" w:cs="Arial"/>
                <w:sz w:val="24"/>
                <w:szCs w:val="24"/>
              </w:rPr>
              <w:t>’r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rhieni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heddiw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gynyddol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ymwybodol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arwyddocâd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rhianta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cadarnhaol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gydnabod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sut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gweithredoedd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hagweddau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D573F7">
              <w:rPr>
                <w:rFonts w:ascii="Arial" w:hAnsi="Arial" w:cs="Arial"/>
                <w:sz w:val="24"/>
                <w:szCs w:val="24"/>
              </w:rPr>
              <w:t>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dewisiadau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dylanwadu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D573F7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uniongyrchol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ddatblygiad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plant,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cyfleoedd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dyfodol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D573F7">
              <w:rPr>
                <w:rFonts w:ascii="Arial" w:hAnsi="Arial" w:cs="Arial"/>
                <w:sz w:val="24"/>
                <w:szCs w:val="24"/>
              </w:rPr>
              <w:t>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lles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cyffredinol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Mae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D573F7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ddealltwriaeth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gynyddol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hon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arwain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rhieni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fabwysiadu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dulliau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newydd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fagu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plant,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symud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ffwrdd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rianta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negyddol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hen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ymsefydlu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chofleidio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technegau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mwy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meithringar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cefnogol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adeiladol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Drwy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chwilio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D573F7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weithredol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am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ffyrdd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wella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sgiliau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rhianta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nid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unig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mae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D573F7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rhieni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D573F7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ymdrechu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ddarparu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bywyd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gwell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D573F7">
              <w:rPr>
                <w:rFonts w:ascii="Arial" w:hAnsi="Arial" w:cs="Arial"/>
                <w:sz w:val="24"/>
                <w:szCs w:val="24"/>
              </w:rPr>
              <w:t>w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plant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ond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hefyd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gweithio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tuag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gyflawni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canlyniadau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gwell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D573F7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teulu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cyfan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. Yn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aml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mae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ymdrechion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D573F7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fath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cynnwys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cymryd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rhan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gweithgareddau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addysgol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meithrin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cyfathrebu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agored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, a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chreu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amgylchedd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cartref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diogel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ysgogol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gyd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cyfrannu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lwyddiant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hapusrwydd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hirdymor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00D573F7">
              <w:rPr>
                <w:rFonts w:ascii="Arial" w:hAnsi="Arial" w:cs="Arial"/>
                <w:sz w:val="24"/>
                <w:szCs w:val="24"/>
              </w:rPr>
              <w:t xml:space="preserve"> plant.</w:t>
            </w:r>
          </w:p>
        </w:tc>
      </w:tr>
      <w:tr w:rsidR="007A317C" w14:paraId="3A9F2501" w14:textId="77777777" w:rsidTr="00E92D94">
        <w:tc>
          <w:tcPr>
            <w:tcW w:w="2376" w:type="dxa"/>
          </w:tcPr>
          <w:p w14:paraId="1B7F8622" w14:textId="3BBE8286" w:rsidR="007A317C" w:rsidRDefault="00D573F7" w:rsidP="007A317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573F7">
              <w:rPr>
                <w:rFonts w:ascii="Arial" w:hAnsi="Arial" w:cs="Arial"/>
                <w:b/>
                <w:sz w:val="24"/>
                <w:szCs w:val="24"/>
              </w:rPr>
              <w:t>Canlyniadau</w:t>
            </w:r>
            <w:r>
              <w:rPr>
                <w:rFonts w:ascii="Arial" w:hAnsi="Arial" w:cs="Arial"/>
                <w:b/>
                <w:sz w:val="24"/>
                <w:szCs w:val="24"/>
              </w:rPr>
              <w:t>’</w:t>
            </w:r>
            <w:r w:rsidRPr="00D573F7">
              <w:rPr>
                <w:rFonts w:ascii="Arial" w:hAnsi="Arial" w:cs="Arial"/>
                <w:b/>
                <w:sz w:val="24"/>
                <w:szCs w:val="24"/>
              </w:rPr>
              <w:t>r</w:t>
            </w:r>
            <w:proofErr w:type="spellEnd"/>
            <w:r w:rsidRPr="00D573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b/>
                <w:sz w:val="24"/>
                <w:szCs w:val="24"/>
              </w:rPr>
              <w:t>offeryn</w:t>
            </w:r>
            <w:proofErr w:type="spellEnd"/>
            <w:r w:rsidRPr="00D573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b/>
                <w:sz w:val="24"/>
                <w:szCs w:val="24"/>
              </w:rPr>
              <w:t>asesu</w:t>
            </w:r>
            <w:proofErr w:type="spellEnd"/>
            <w:r w:rsidRPr="00D573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573F7">
              <w:rPr>
                <w:rFonts w:ascii="Arial" w:hAnsi="Arial" w:cs="Arial"/>
                <w:b/>
                <w:sz w:val="24"/>
                <w:szCs w:val="24"/>
              </w:rPr>
              <w:t>sylfaenol</w:t>
            </w:r>
            <w:proofErr w:type="spellEnd"/>
            <w:r w:rsid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16" w:type="dxa"/>
          </w:tcPr>
          <w:p w14:paraId="2A78E7E8" w14:textId="00C1CFCE" w:rsidR="007A317C" w:rsidRPr="00535D2E" w:rsidRDefault="007A317C" w:rsidP="007A317C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  <w:p w14:paraId="7DF76236" w14:textId="55FECAD2" w:rsidR="007A317C" w:rsidRPr="00F37533" w:rsidRDefault="007A317C" w:rsidP="007A317C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535D2E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="00E92D94">
              <w:rPr>
                <w:noProof/>
              </w:rPr>
              <w:drawing>
                <wp:inline distT="0" distB="0" distL="0" distR="0" wp14:anchorId="2AB7BD32" wp14:editId="63604011">
                  <wp:extent cx="4067175" cy="2219325"/>
                  <wp:effectExtent l="0" t="0" r="9525" b="9525"/>
                  <wp:docPr id="168509820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D304F4-FC16-B9D7-0481-0AC94D62AE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14:paraId="455F4DE9" w14:textId="7107ED4F" w:rsidR="007A317C" w:rsidRDefault="007A317C" w:rsidP="007A3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68C9C4" w14:textId="648DEB65" w:rsidR="007A317C" w:rsidRDefault="007A317C" w:rsidP="007A317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67FA9BB" w14:textId="77777777" w:rsidR="007A317C" w:rsidRDefault="007A317C" w:rsidP="007A31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317C" w14:paraId="19AFCFC9" w14:textId="77777777" w:rsidTr="00774295">
        <w:tc>
          <w:tcPr>
            <w:tcW w:w="2376" w:type="dxa"/>
          </w:tcPr>
          <w:p w14:paraId="065B6871" w14:textId="5ED40F2A" w:rsidR="007A317C" w:rsidRDefault="00D573F7" w:rsidP="007A317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Dyfyniad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teulu</w:t>
            </w:r>
            <w:proofErr w:type="spellEnd"/>
            <w:r w:rsidR="007A3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16" w:type="dxa"/>
          </w:tcPr>
          <w:p w14:paraId="37357AAB" w14:textId="4FF0BFA6" w:rsidR="007A317C" w:rsidRPr="00535D2E" w:rsidRDefault="00911581" w:rsidP="007A317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Yn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ystod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y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sesiwn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ffocws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mynegodd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y fam,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heb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g</w:t>
            </w:r>
            <w:r>
              <w:rPr>
                <w:rFonts w:ascii="Arial" w:hAnsi="Arial" w:cs="Arial"/>
                <w:bCs/>
                <w:sz w:val="24"/>
                <w:szCs w:val="24"/>
              </w:rPr>
              <w:t>ymorth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a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chred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Dechrau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Pr="00911581">
              <w:rPr>
                <w:rFonts w:ascii="Arial" w:hAnsi="Arial" w:cs="Arial"/>
                <w:bCs/>
                <w:sz w:val="24"/>
                <w:szCs w:val="24"/>
              </w:rPr>
              <w:t>n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Deg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, y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byddai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Pr="00911581">
              <w:rPr>
                <w:rFonts w:ascii="Arial" w:hAnsi="Arial" w:cs="Arial"/>
                <w:bCs/>
                <w:sz w:val="24"/>
                <w:szCs w:val="24"/>
              </w:rPr>
              <w:t>n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dal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wynebu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heriau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mewn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perthynas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â’i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hyder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Pr="00911581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sgiliau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rhianta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Nododd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ei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diolchgarwch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parhaus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Dechrau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Pr="00911581">
              <w:rPr>
                <w:rFonts w:ascii="Arial" w:hAnsi="Arial" w:cs="Arial"/>
                <w:bCs/>
                <w:sz w:val="24"/>
                <w:szCs w:val="24"/>
              </w:rPr>
              <w:t>n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Deg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am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gael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effaith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gadarnhaol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ar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ei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bywyd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ac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atal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ei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phlant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rhag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cael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profiadau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niweidiol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ystod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plentyndod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Adroddodd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y fam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fod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y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sesiynau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profiadau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niweidiol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ystod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plentyndod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ysgogi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llawer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o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feddwl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gan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roi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cymhelliant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iddi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fynd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drywydd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gwelliannau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ac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addasu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ei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arddull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rhianta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sydd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wedi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arwain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at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ganlyniadau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gwell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Pr="00911581">
              <w:rPr>
                <w:rFonts w:ascii="Arial" w:hAnsi="Arial" w:cs="Arial"/>
                <w:bCs/>
                <w:sz w:val="24"/>
                <w:szCs w:val="24"/>
              </w:rPr>
              <w:t>w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phlant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11581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Pr="00911581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Pr="00911581">
              <w:rPr>
                <w:rFonts w:ascii="Arial" w:hAnsi="Arial" w:cs="Arial"/>
                <w:bCs/>
                <w:sz w:val="24"/>
                <w:szCs w:val="24"/>
              </w:rPr>
              <w:t xml:space="preserve"> theulu.</w:t>
            </w:r>
          </w:p>
        </w:tc>
      </w:tr>
      <w:tr w:rsidR="007A317C" w14:paraId="79EA61BE" w14:textId="77777777" w:rsidTr="00774295">
        <w:tc>
          <w:tcPr>
            <w:tcW w:w="2376" w:type="dxa"/>
          </w:tcPr>
          <w:p w14:paraId="08C30772" w14:textId="77777777" w:rsidR="007A317C" w:rsidRDefault="007A317C" w:rsidP="007A31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16" w:type="dxa"/>
          </w:tcPr>
          <w:p w14:paraId="3D016772" w14:textId="77777777" w:rsidR="007A317C" w:rsidRDefault="007A317C" w:rsidP="007A31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FB4B45B" w14:textId="77777777" w:rsidR="000403E4" w:rsidRDefault="000403E4" w:rsidP="00ED4830">
      <w:pPr>
        <w:jc w:val="center"/>
        <w:rPr>
          <w:rFonts w:ascii="Arial" w:hAnsi="Arial" w:cs="Arial"/>
          <w:b/>
          <w:sz w:val="24"/>
          <w:szCs w:val="24"/>
        </w:rPr>
      </w:pPr>
    </w:p>
    <w:sectPr w:rsidR="000403E4" w:rsidSect="00A807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3697"/>
    <w:multiLevelType w:val="hybridMultilevel"/>
    <w:tmpl w:val="F12CE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65351"/>
    <w:multiLevelType w:val="hybridMultilevel"/>
    <w:tmpl w:val="04E8A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F24F1"/>
    <w:multiLevelType w:val="hybridMultilevel"/>
    <w:tmpl w:val="B9E07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E5B35"/>
    <w:multiLevelType w:val="hybridMultilevel"/>
    <w:tmpl w:val="844E2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A34EB"/>
    <w:multiLevelType w:val="hybridMultilevel"/>
    <w:tmpl w:val="9364D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2231F"/>
    <w:multiLevelType w:val="hybridMultilevel"/>
    <w:tmpl w:val="3A8ED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C14BC"/>
    <w:multiLevelType w:val="hybridMultilevel"/>
    <w:tmpl w:val="3F506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D7909"/>
    <w:multiLevelType w:val="hybridMultilevel"/>
    <w:tmpl w:val="63F04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919D2"/>
    <w:multiLevelType w:val="hybridMultilevel"/>
    <w:tmpl w:val="A9D01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E0B63"/>
    <w:multiLevelType w:val="hybridMultilevel"/>
    <w:tmpl w:val="E6FE2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629DE"/>
    <w:multiLevelType w:val="hybridMultilevel"/>
    <w:tmpl w:val="D27C6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51634">
    <w:abstractNumId w:val="0"/>
  </w:num>
  <w:num w:numId="2" w16cid:durableId="1837068737">
    <w:abstractNumId w:val="7"/>
  </w:num>
  <w:num w:numId="3" w16cid:durableId="272129867">
    <w:abstractNumId w:val="3"/>
  </w:num>
  <w:num w:numId="4" w16cid:durableId="1813018805">
    <w:abstractNumId w:val="9"/>
  </w:num>
  <w:num w:numId="5" w16cid:durableId="1054232959">
    <w:abstractNumId w:val="4"/>
  </w:num>
  <w:num w:numId="6" w16cid:durableId="510340232">
    <w:abstractNumId w:val="5"/>
  </w:num>
  <w:num w:numId="7" w16cid:durableId="802428212">
    <w:abstractNumId w:val="10"/>
  </w:num>
  <w:num w:numId="8" w16cid:durableId="1825856371">
    <w:abstractNumId w:val="1"/>
  </w:num>
  <w:num w:numId="9" w16cid:durableId="122819718">
    <w:abstractNumId w:val="2"/>
  </w:num>
  <w:num w:numId="10" w16cid:durableId="1366905110">
    <w:abstractNumId w:val="8"/>
  </w:num>
  <w:num w:numId="11" w16cid:durableId="213277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E4"/>
    <w:rsid w:val="00012A91"/>
    <w:rsid w:val="00013C47"/>
    <w:rsid w:val="000200EB"/>
    <w:rsid w:val="000403E4"/>
    <w:rsid w:val="000433D3"/>
    <w:rsid w:val="000A7E59"/>
    <w:rsid w:val="00104117"/>
    <w:rsid w:val="0015022C"/>
    <w:rsid w:val="00151039"/>
    <w:rsid w:val="0015315B"/>
    <w:rsid w:val="00156DC5"/>
    <w:rsid w:val="00176BE8"/>
    <w:rsid w:val="001A081B"/>
    <w:rsid w:val="001A5B1A"/>
    <w:rsid w:val="00200107"/>
    <w:rsid w:val="00202D45"/>
    <w:rsid w:val="00204CA3"/>
    <w:rsid w:val="002216F3"/>
    <w:rsid w:val="002771F7"/>
    <w:rsid w:val="00290621"/>
    <w:rsid w:val="00291F5C"/>
    <w:rsid w:val="002C179F"/>
    <w:rsid w:val="002E0533"/>
    <w:rsid w:val="00361DE0"/>
    <w:rsid w:val="0037516B"/>
    <w:rsid w:val="003974C5"/>
    <w:rsid w:val="003A2C9F"/>
    <w:rsid w:val="00440923"/>
    <w:rsid w:val="00453BC2"/>
    <w:rsid w:val="004750DC"/>
    <w:rsid w:val="004A7894"/>
    <w:rsid w:val="00535B01"/>
    <w:rsid w:val="00535D2E"/>
    <w:rsid w:val="0054436E"/>
    <w:rsid w:val="0058516B"/>
    <w:rsid w:val="005A30B0"/>
    <w:rsid w:val="005A48CC"/>
    <w:rsid w:val="005A7614"/>
    <w:rsid w:val="005C3032"/>
    <w:rsid w:val="00606D50"/>
    <w:rsid w:val="006671A0"/>
    <w:rsid w:val="0069141B"/>
    <w:rsid w:val="006B3C83"/>
    <w:rsid w:val="006D0823"/>
    <w:rsid w:val="006D15FA"/>
    <w:rsid w:val="00732443"/>
    <w:rsid w:val="00741543"/>
    <w:rsid w:val="007429F0"/>
    <w:rsid w:val="00747393"/>
    <w:rsid w:val="00771729"/>
    <w:rsid w:val="007727EC"/>
    <w:rsid w:val="00774295"/>
    <w:rsid w:val="007A317C"/>
    <w:rsid w:val="007F4FA8"/>
    <w:rsid w:val="00801F98"/>
    <w:rsid w:val="00807334"/>
    <w:rsid w:val="008116E4"/>
    <w:rsid w:val="00817CFD"/>
    <w:rsid w:val="008228A0"/>
    <w:rsid w:val="008269F1"/>
    <w:rsid w:val="00847ADA"/>
    <w:rsid w:val="00861DE3"/>
    <w:rsid w:val="00911581"/>
    <w:rsid w:val="009440A1"/>
    <w:rsid w:val="00A052FB"/>
    <w:rsid w:val="00A313DD"/>
    <w:rsid w:val="00A4011F"/>
    <w:rsid w:val="00A4600A"/>
    <w:rsid w:val="00A57479"/>
    <w:rsid w:val="00A61492"/>
    <w:rsid w:val="00A77987"/>
    <w:rsid w:val="00A807BE"/>
    <w:rsid w:val="00AA5185"/>
    <w:rsid w:val="00AD0414"/>
    <w:rsid w:val="00AF6D28"/>
    <w:rsid w:val="00B17E67"/>
    <w:rsid w:val="00B42D30"/>
    <w:rsid w:val="00B6159C"/>
    <w:rsid w:val="00B64EB5"/>
    <w:rsid w:val="00BB5527"/>
    <w:rsid w:val="00BC3CA4"/>
    <w:rsid w:val="00BC46ED"/>
    <w:rsid w:val="00BF6393"/>
    <w:rsid w:val="00BF7807"/>
    <w:rsid w:val="00C8119F"/>
    <w:rsid w:val="00CA452B"/>
    <w:rsid w:val="00CC128A"/>
    <w:rsid w:val="00CF7E89"/>
    <w:rsid w:val="00D31412"/>
    <w:rsid w:val="00D34808"/>
    <w:rsid w:val="00D40A71"/>
    <w:rsid w:val="00D573F7"/>
    <w:rsid w:val="00DC4F05"/>
    <w:rsid w:val="00DD4F8C"/>
    <w:rsid w:val="00E1076A"/>
    <w:rsid w:val="00E92D94"/>
    <w:rsid w:val="00EA39D4"/>
    <w:rsid w:val="00ED4830"/>
    <w:rsid w:val="00ED620A"/>
    <w:rsid w:val="00EF0380"/>
    <w:rsid w:val="00F15DEE"/>
    <w:rsid w:val="00F37533"/>
    <w:rsid w:val="00F4424F"/>
    <w:rsid w:val="00F601EC"/>
    <w:rsid w:val="00F85415"/>
    <w:rsid w:val="00F9277A"/>
    <w:rsid w:val="00FC4697"/>
    <w:rsid w:val="00FD0B30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023A"/>
  <w15:docId w15:val="{3A6E5B50-D6C9-44A2-9FE5-86FE6C71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0A71"/>
    <w:pPr>
      <w:ind w:left="720"/>
      <w:contextualSpacing/>
    </w:pPr>
  </w:style>
  <w:style w:type="paragraph" w:customStyle="1" w:styleId="xmsonormal">
    <w:name w:val="x_msonormal"/>
    <w:basedOn w:val="Normal"/>
    <w:rsid w:val="0082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hart" Target="charts/chart1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76b443d89b6a4c83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Cyn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Lleferydd, laith a Chyfathrebu</c:v>
                </c:pt>
                <c:pt idx="1">
                  <c:v>Gweithgarwch a Llesiant Teuluol</c:v>
                </c:pt>
                <c:pt idx="2">
                  <c:v>Rhianta Cadarnhaol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30</c:v>
                </c:pt>
                <c:pt idx="1">
                  <c:v>24</c:v>
                </c:pt>
                <c:pt idx="2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3E-4B05-B3A7-2E5EF278B67F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Ar Ôl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Lleferydd, laith a Chyfathrebu</c:v>
                </c:pt>
                <c:pt idx="1">
                  <c:v>Gweithgarwch a Llesiant Teuluol</c:v>
                </c:pt>
                <c:pt idx="2">
                  <c:v>Rhianta Cadarnhaol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48</c:v>
                </c:pt>
                <c:pt idx="1">
                  <c:v>36</c:v>
                </c:pt>
                <c:pt idx="2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3E-4B05-B3A7-2E5EF278B6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44768688"/>
        <c:axId val="744768208"/>
      </c:barChart>
      <c:catAx>
        <c:axId val="744768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44768208"/>
        <c:crosses val="autoZero"/>
        <c:auto val="1"/>
        <c:lblAlgn val="ctr"/>
        <c:lblOffset val="100"/>
        <c:noMultiLvlLbl val="0"/>
      </c:catAx>
      <c:valAx>
        <c:axId val="744768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44768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A63636855</value>
    </field>
    <field name="Objective-Title">
      <value order="0">Blaenau Gwent - CCG - Example of Practice  - Flying Start (2025-2026) - Welsh</value>
    </field>
    <field name="Objective-Description">
      <value order="0"/>
    </field>
    <field name="Objective-CreationStamp">
      <value order="0">2026-07-03T08:21:51Z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2026-07-03T08:21:53Z</value>
    </field>
    <field name="Objective-Owner">
      <value order="0">Herneman, Michelle (HCP - Early Years, Childcare &amp; Play)</value>
    </field>
    <field name="Objective-Path">
      <value order="0">Objective Global Folder:#Business File Plan:WG Organisational Groups:Learning, Communities and Culture Group (LCCG):Communities &amp; Social Justice:Learning, Communities and Culture Group (LCCG) - Communities &amp; Social Justice - Early Years, Childcare &amp; Play Division:1 - Save:Early Years, Childcare and Play Division:15 Finance:CCG - Flexible Funding - Delivery - 2025-2026:2025-26 - CCG Focus Page - Case Studies Claim 2</value>
    </field>
    <field name="Objective-Parent">
      <value order="0">2025-26 - CCG Focus Page - Case Studies Claim 2</value>
    </field>
    <field name="Objective-State">
      <value order="0">Being Drafted</value>
    </field>
    <field name="Objective-VersionId">
      <value order="0">vA114179496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1233</Words>
  <Characters>7168</Characters>
  <Application>Microsoft Office Word</Application>
  <DocSecurity>0</DocSecurity>
  <Lines>199</Lines>
  <Paragraphs>72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BGCBC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Morgan - Social Services</dc:creator>
  <cp:lastModifiedBy>Herneman, Michelle (HCP - Early Years, Childcare &amp; Play)</cp:lastModifiedBy>
  <cp:revision>5</cp:revision>
  <dcterms:created xsi:type="dcterms:W3CDTF">2026-05-01T10:53:00Z</dcterms:created>
  <dcterms:modified xsi:type="dcterms:W3CDTF">2026-07-03T08:21:00Z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A63636855</vt:lpwstr>
  </op:property>
  <op:property fmtid="{D5CDD505-2E9C-101B-9397-08002B2CF9AE}" pid="4" name="Objective-Title">
    <vt:lpwstr xmlns:vt="http://schemas.openxmlformats.org/officeDocument/2006/docPropsVTypes">Blaenau Gwent - CCG - Example of Practice  - Flying Start (2025-2026) - Welsh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2026-07-03T08:21:51Z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2026-07-03T08:21:53Z</vt:filetime>
  </op:property>
  <op:property fmtid="{D5CDD505-2E9C-101B-9397-08002B2CF9AE}" pid="11" name="Objective-Owner">
    <vt:lpwstr xmlns:vt="http://schemas.openxmlformats.org/officeDocument/2006/docPropsVTypes">Herneman, Michelle (HCP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Groups:Health, Care and Prevention Group (HCPG):Director of Primary Care, Mental Health &amp; Early Years:Health, Care and Prevention Group (HCPG) - Early Years:1 - Save:Early Years, Childcare and Play Division:15 Finance:CCG - Flexible Funding - Delivery - 2025-2026:2025-26 - CCG Focus Page - Case Studies Claim 2:</vt:lpwstr>
  </op:property>
  <op:property fmtid="{D5CDD505-2E9C-101B-9397-08002B2CF9AE}" pid="13" name="Objective-Parent">
    <vt:lpwstr xmlns:vt="http://schemas.openxmlformats.org/officeDocument/2006/docPropsVTypes">2025-26 -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vA114179496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